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B754" w14:textId="77777777" w:rsidR="00EA4725" w:rsidRPr="00441372" w:rsidRDefault="00A25AA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F3C85" w14:paraId="5FB2982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9D9FB8A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A93B7CC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2FFEDEB5" w14:textId="77777777" w:rsidR="00EA4725" w:rsidRPr="00441372" w:rsidRDefault="00A25AA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F3C85" w14:paraId="251E15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4C8B1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4200B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0F3C85" w14:paraId="16E1CE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B7844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174FD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Animal and vegetable fats and oils (ICS code: 67.200.10)</w:t>
            </w:r>
          </w:p>
        </w:tc>
      </w:tr>
      <w:tr w:rsidR="000F3C85" w14:paraId="0A2B7A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74D7C" w14:textId="77777777" w:rsidR="00EA4725" w:rsidRPr="00441372" w:rsidRDefault="00A25AA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48508" w14:textId="77777777" w:rsidR="00EA4725" w:rsidRPr="00441372" w:rsidRDefault="00A25AA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EA06ED3" w14:textId="77777777" w:rsidR="00EA4725" w:rsidRPr="00441372" w:rsidRDefault="00A25AA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BC89C92" w14:textId="77777777" w:rsidR="00EA4725" w:rsidRPr="00441372" w:rsidRDefault="00A25AA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F3C85" w14:paraId="6CEB82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67661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FA3CC" w14:textId="2E9BFF08" w:rsidR="00EA4725" w:rsidRPr="00441372" w:rsidRDefault="00A25AAF" w:rsidP="0080692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0F3C85" w14:paraId="0B9932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92EBA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24EBF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447/2024 gives the producers and importers a six-month transitional period to abide by the Egyptian Standard ES 50-2 for "Hydrogenated Oils and Margarine - part: 2 - Hydrogenated Vegetable Oils".</w:t>
            </w:r>
          </w:p>
          <w:p w14:paraId="18839935" w14:textId="77777777" w:rsidR="00685A6A" w:rsidRPr="0065690F" w:rsidRDefault="00A25AAF" w:rsidP="00441372">
            <w:pPr>
              <w:spacing w:before="120" w:after="120"/>
            </w:pPr>
            <w:r w:rsidRPr="0065690F">
              <w:t>Worth mentioning is that this standard has been formulated according to National Studies.</w:t>
            </w:r>
          </w:p>
        </w:tc>
      </w:tr>
      <w:tr w:rsidR="000F3C85" w14:paraId="759242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5D840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5B58B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F3C85" w14:paraId="2BB6D2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AF629" w14:textId="77777777" w:rsidR="00EA4725" w:rsidRPr="00441372" w:rsidRDefault="00A25AA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2359E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98FED7B" w14:textId="77777777" w:rsidR="00EA4725" w:rsidRPr="00441372" w:rsidRDefault="00A25AA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963D8E" w14:textId="77777777" w:rsidR="00EA4725" w:rsidRPr="00441372" w:rsidRDefault="00A25AA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BC4616E" w14:textId="77777777" w:rsidR="00EA4725" w:rsidRPr="00441372" w:rsidRDefault="00A25AA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7DA81B8" w14:textId="77777777" w:rsidR="00EA4725" w:rsidRPr="00441372" w:rsidRDefault="00A25AA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4AF31A2" w14:textId="77777777" w:rsidR="00EA4725" w:rsidRPr="00441372" w:rsidRDefault="00A25AA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00FD9C2" w14:textId="77777777" w:rsidR="00EA4725" w:rsidRPr="00441372" w:rsidRDefault="00A25AA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B21D360" w14:textId="77777777" w:rsidR="00EA4725" w:rsidRPr="00441372" w:rsidRDefault="00A25AA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F3C85" w14:paraId="73B578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6D220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7CB0D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0F3C85" w14:paraId="4B456F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66573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E9E75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79A1B263" w14:textId="77777777" w:rsidR="00EA4725" w:rsidRPr="00441372" w:rsidRDefault="00A25AA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0F3C85" w14:paraId="7154CB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4A014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DF9C8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54343151" w14:textId="77777777" w:rsidR="00EA4725" w:rsidRPr="00441372" w:rsidRDefault="00A25AA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F3C85" w14:paraId="4264BD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002F3" w14:textId="77777777" w:rsidR="00EA4725" w:rsidRPr="00441372" w:rsidRDefault="00A25AA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E1D23" w14:textId="77777777" w:rsidR="00EA4725" w:rsidRPr="00441372" w:rsidRDefault="00A25AA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5530A107" w14:textId="77777777" w:rsidR="00EA4725" w:rsidRPr="00441372" w:rsidRDefault="00A25AA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459E772A" w14:textId="77777777" w:rsidR="00685A6A" w:rsidRPr="0065690F" w:rsidRDefault="00A25AAF" w:rsidP="00441372">
            <w:r w:rsidRPr="0065690F">
              <w:t>Central Administration for Foreign Agricultural Relations</w:t>
            </w:r>
          </w:p>
          <w:p w14:paraId="6B4E5621" w14:textId="77777777" w:rsidR="00685A6A" w:rsidRPr="0065690F" w:rsidRDefault="00A25AAF" w:rsidP="00441372">
            <w:r w:rsidRPr="0065690F">
              <w:t>Ministry of Agriculture and Land Reclamation</w:t>
            </w:r>
          </w:p>
          <w:p w14:paraId="374B21F4" w14:textId="77777777" w:rsidR="00685A6A" w:rsidRPr="0065690F" w:rsidRDefault="00A25AAF" w:rsidP="00441372">
            <w:r w:rsidRPr="0065690F">
              <w:t xml:space="preserve">1 Nadi El Saïd St., </w:t>
            </w:r>
            <w:proofErr w:type="spellStart"/>
            <w:r w:rsidRPr="0065690F">
              <w:t>Dokki</w:t>
            </w:r>
            <w:proofErr w:type="spellEnd"/>
            <w:r w:rsidRPr="0065690F">
              <w:t>, Giza, Egypt</w:t>
            </w:r>
          </w:p>
          <w:p w14:paraId="5862721E" w14:textId="7DD91254" w:rsidR="00685A6A" w:rsidRPr="0065690F" w:rsidRDefault="00A25AAF" w:rsidP="0080692B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14:paraId="53C0D8FE" w14:textId="0BA11F00" w:rsidR="00685A6A" w:rsidRPr="0065690F" w:rsidRDefault="00A25AAF" w:rsidP="0080692B">
            <w:pPr>
              <w:tabs>
                <w:tab w:val="left" w:pos="428"/>
              </w:tabs>
            </w:pPr>
            <w:r>
              <w:tab/>
            </w:r>
            <w:r w:rsidRPr="0065690F">
              <w:t>+(202) 3760 3155</w:t>
            </w:r>
          </w:p>
          <w:p w14:paraId="285157ED" w14:textId="77777777" w:rsidR="00685A6A" w:rsidRPr="0065690F" w:rsidRDefault="00A25AAF" w:rsidP="00441372">
            <w:r w:rsidRPr="0065690F">
              <w:t>Fax: +(202) 3337 4195</w:t>
            </w:r>
          </w:p>
          <w:p w14:paraId="53A6D5CB" w14:textId="77777777" w:rsidR="00685A6A" w:rsidRPr="0065690F" w:rsidRDefault="00A25AAF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:rsidR="000F3C85" w14:paraId="207C643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DC73297" w14:textId="77777777" w:rsidR="00EA4725" w:rsidRPr="00441372" w:rsidRDefault="00A25AA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ECA931" w14:textId="77777777" w:rsidR="00EA4725" w:rsidRPr="00441372" w:rsidRDefault="00A25AA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B238A94" w14:textId="77777777" w:rsidR="00EA4725" w:rsidRPr="0065690F" w:rsidRDefault="00A25AA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6D881812" w14:textId="77777777" w:rsidR="00EA4725" w:rsidRPr="0065690F" w:rsidRDefault="00A25AA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19104F3F" w14:textId="77777777" w:rsidR="00EA4725" w:rsidRPr="0065690F" w:rsidRDefault="00A25AA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21BCDC29" w14:textId="057391DC" w:rsidR="00EA4725" w:rsidRPr="0065690F" w:rsidRDefault="00A25AAF" w:rsidP="0080692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6556D42E" w14:textId="3DAF6A88" w:rsidR="00EA4725" w:rsidRPr="0080692B" w:rsidRDefault="00A25AAF" w:rsidP="0080692B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4F16C6E5" w14:textId="77777777" w:rsidR="00EA4725" w:rsidRPr="0080692B" w:rsidRDefault="00A25AAF" w:rsidP="00F3021D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37D92565" w14:textId="77777777" w:rsidR="00EA4725" w:rsidRPr="0080692B" w:rsidRDefault="00A25AAF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5F1E5C1D" w14:textId="77777777" w:rsidR="007141CF" w:rsidRPr="0080692B" w:rsidRDefault="007141CF" w:rsidP="00441372">
      <w:pPr>
        <w:rPr>
          <w:lang w:val="fr-CH"/>
        </w:rPr>
      </w:pPr>
    </w:p>
    <w:sectPr w:rsidR="007141CF" w:rsidRPr="0080692B" w:rsidSect="00806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3D3A" w14:textId="77777777" w:rsidR="00A25AAF" w:rsidRDefault="00A25AAF">
      <w:r>
        <w:separator/>
      </w:r>
    </w:p>
  </w:endnote>
  <w:endnote w:type="continuationSeparator" w:id="0">
    <w:p w14:paraId="25878D96" w14:textId="77777777" w:rsidR="00A25AAF" w:rsidRDefault="00A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9198" w14:textId="2B49F2FA" w:rsidR="00EA4725" w:rsidRPr="0080692B" w:rsidRDefault="00A25AAF" w:rsidP="008069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ECDE" w14:textId="4CF99D58" w:rsidR="00EA4725" w:rsidRPr="0080692B" w:rsidRDefault="00A25AAF" w:rsidP="008069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27B7" w14:textId="77777777" w:rsidR="00C863EB" w:rsidRPr="00441372" w:rsidRDefault="00A25AA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BABA" w14:textId="77777777" w:rsidR="00A25AAF" w:rsidRDefault="00A25AAF">
      <w:r>
        <w:separator/>
      </w:r>
    </w:p>
  </w:footnote>
  <w:footnote w:type="continuationSeparator" w:id="0">
    <w:p w14:paraId="69893DAA" w14:textId="77777777" w:rsidR="00A25AAF" w:rsidRDefault="00A2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DEA7" w14:textId="77777777" w:rsidR="0080692B" w:rsidRPr="0080692B" w:rsidRDefault="00A25AAF" w:rsidP="00806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692B">
      <w:t>G/SPS/N/</w:t>
    </w:r>
    <w:proofErr w:type="spellStart"/>
    <w:r w:rsidRPr="0080692B">
      <w:t>EGY</w:t>
    </w:r>
    <w:proofErr w:type="spellEnd"/>
    <w:r w:rsidRPr="0080692B">
      <w:t>/147</w:t>
    </w:r>
  </w:p>
  <w:p w14:paraId="47D76DCC" w14:textId="77777777" w:rsidR="0080692B" w:rsidRPr="0080692B" w:rsidRDefault="0080692B" w:rsidP="00806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ED89F5" w14:textId="57D9567A" w:rsidR="0080692B" w:rsidRPr="0080692B" w:rsidRDefault="00A25AAF" w:rsidP="00806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692B">
      <w:t xml:space="preserve">- </w:t>
    </w:r>
    <w:r w:rsidRPr="0080692B">
      <w:fldChar w:fldCharType="begin"/>
    </w:r>
    <w:r w:rsidRPr="0080692B">
      <w:instrText xml:space="preserve"> PAGE </w:instrText>
    </w:r>
    <w:r w:rsidRPr="0080692B">
      <w:fldChar w:fldCharType="separate"/>
    </w:r>
    <w:r w:rsidRPr="0080692B">
      <w:rPr>
        <w:noProof/>
      </w:rPr>
      <w:t>2</w:t>
    </w:r>
    <w:r w:rsidRPr="0080692B">
      <w:fldChar w:fldCharType="end"/>
    </w:r>
    <w:r w:rsidRPr="0080692B">
      <w:t xml:space="preserve"> -</w:t>
    </w:r>
  </w:p>
  <w:p w14:paraId="1EAC875B" w14:textId="2A3CF772" w:rsidR="00EA4725" w:rsidRPr="0080692B" w:rsidRDefault="00EA4725" w:rsidP="008069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9511" w14:textId="77777777" w:rsidR="0080692B" w:rsidRPr="0080692B" w:rsidRDefault="00A25AAF" w:rsidP="00806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692B">
      <w:t>G/SPS/N/</w:t>
    </w:r>
    <w:proofErr w:type="spellStart"/>
    <w:r w:rsidRPr="0080692B">
      <w:t>EGY</w:t>
    </w:r>
    <w:proofErr w:type="spellEnd"/>
    <w:r w:rsidRPr="0080692B">
      <w:t>/147</w:t>
    </w:r>
  </w:p>
  <w:p w14:paraId="1E1517C1" w14:textId="77777777" w:rsidR="0080692B" w:rsidRPr="0080692B" w:rsidRDefault="0080692B" w:rsidP="00806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2E7542" w14:textId="2D187389" w:rsidR="0080692B" w:rsidRPr="0080692B" w:rsidRDefault="00A25AAF" w:rsidP="008069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692B">
      <w:t xml:space="preserve">- </w:t>
    </w:r>
    <w:r w:rsidRPr="0080692B">
      <w:fldChar w:fldCharType="begin"/>
    </w:r>
    <w:r w:rsidRPr="0080692B">
      <w:instrText xml:space="preserve"> PAGE </w:instrText>
    </w:r>
    <w:r w:rsidRPr="0080692B">
      <w:fldChar w:fldCharType="separate"/>
    </w:r>
    <w:r w:rsidRPr="0080692B">
      <w:rPr>
        <w:noProof/>
      </w:rPr>
      <w:t>2</w:t>
    </w:r>
    <w:r w:rsidRPr="0080692B">
      <w:fldChar w:fldCharType="end"/>
    </w:r>
    <w:r w:rsidRPr="0080692B">
      <w:t xml:space="preserve"> -</w:t>
    </w:r>
  </w:p>
  <w:p w14:paraId="2D78AE51" w14:textId="4EFB3BB5" w:rsidR="00EA4725" w:rsidRPr="0080692B" w:rsidRDefault="00EA4725" w:rsidP="008069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3C85" w14:paraId="0C1B9B1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4F2E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0843BE" w14:textId="56EE57F4" w:rsidR="00ED54E0" w:rsidRPr="00EA4725" w:rsidRDefault="00A25AA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F3C85" w14:paraId="02D97CF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1A0E70" w14:textId="77777777" w:rsidR="00ED54E0" w:rsidRPr="00EA4725" w:rsidRDefault="00DB169B" w:rsidP="00422B6F">
          <w:pPr>
            <w:jc w:val="left"/>
          </w:pPr>
          <w:r>
            <w:rPr>
              <w:lang w:eastAsia="en-GB"/>
            </w:rPr>
            <w:pict w14:anchorId="62873E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A897E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F3C85" w14:paraId="78D1E60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9C2B8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BA9D13" w14:textId="77777777" w:rsidR="0080692B" w:rsidRDefault="00A25AA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/147</w:t>
          </w:r>
          <w:bookmarkEnd w:id="1"/>
        </w:p>
      </w:tc>
    </w:tr>
    <w:tr w:rsidR="000F3C85" w14:paraId="3687FCF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7377E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CCE55E" w14:textId="77777777" w:rsidR="00ED54E0" w:rsidRPr="00EA4725" w:rsidRDefault="00A25AA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0F3C85" w14:paraId="1ABFD70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FFB9CA" w14:textId="7631140F" w:rsidR="00ED54E0" w:rsidRPr="00EA4725" w:rsidRDefault="00A25AA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DB169B">
            <w:rPr>
              <w:color w:val="FF0000"/>
              <w:szCs w:val="16"/>
            </w:rPr>
            <w:t>7053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87471D" w14:textId="77777777" w:rsidR="00ED54E0" w:rsidRPr="00EA4725" w:rsidRDefault="00A25AA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F3C85" w14:paraId="1AD23EF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A85FC3" w14:textId="2DD07D06" w:rsidR="00ED54E0" w:rsidRPr="00EA4725" w:rsidRDefault="00A25AA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6EAC3B" w14:textId="0498471C" w:rsidR="00ED54E0" w:rsidRPr="00441372" w:rsidRDefault="00A25AA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EC609A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E66C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08A448" w:tentative="1">
      <w:start w:val="1"/>
      <w:numFmt w:val="lowerLetter"/>
      <w:lvlText w:val="%2."/>
      <w:lvlJc w:val="left"/>
      <w:pPr>
        <w:ind w:left="1080" w:hanging="360"/>
      </w:pPr>
    </w:lvl>
    <w:lvl w:ilvl="2" w:tplc="DD6CF4A0" w:tentative="1">
      <w:start w:val="1"/>
      <w:numFmt w:val="lowerRoman"/>
      <w:lvlText w:val="%3."/>
      <w:lvlJc w:val="right"/>
      <w:pPr>
        <w:ind w:left="1800" w:hanging="180"/>
      </w:pPr>
    </w:lvl>
    <w:lvl w:ilvl="3" w:tplc="3AAE7A3E" w:tentative="1">
      <w:start w:val="1"/>
      <w:numFmt w:val="decimal"/>
      <w:lvlText w:val="%4."/>
      <w:lvlJc w:val="left"/>
      <w:pPr>
        <w:ind w:left="2520" w:hanging="360"/>
      </w:pPr>
    </w:lvl>
    <w:lvl w:ilvl="4" w:tplc="2FD0B21C" w:tentative="1">
      <w:start w:val="1"/>
      <w:numFmt w:val="lowerLetter"/>
      <w:lvlText w:val="%5."/>
      <w:lvlJc w:val="left"/>
      <w:pPr>
        <w:ind w:left="3240" w:hanging="360"/>
      </w:pPr>
    </w:lvl>
    <w:lvl w:ilvl="5" w:tplc="936ACCAC" w:tentative="1">
      <w:start w:val="1"/>
      <w:numFmt w:val="lowerRoman"/>
      <w:lvlText w:val="%6."/>
      <w:lvlJc w:val="right"/>
      <w:pPr>
        <w:ind w:left="3960" w:hanging="180"/>
      </w:pPr>
    </w:lvl>
    <w:lvl w:ilvl="6" w:tplc="6944B84E" w:tentative="1">
      <w:start w:val="1"/>
      <w:numFmt w:val="decimal"/>
      <w:lvlText w:val="%7."/>
      <w:lvlJc w:val="left"/>
      <w:pPr>
        <w:ind w:left="4680" w:hanging="360"/>
      </w:pPr>
    </w:lvl>
    <w:lvl w:ilvl="7" w:tplc="02304D38" w:tentative="1">
      <w:start w:val="1"/>
      <w:numFmt w:val="lowerLetter"/>
      <w:lvlText w:val="%8."/>
      <w:lvlJc w:val="left"/>
      <w:pPr>
        <w:ind w:left="5400" w:hanging="360"/>
      </w:pPr>
    </w:lvl>
    <w:lvl w:ilvl="8" w:tplc="ED7E813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743385">
    <w:abstractNumId w:val="9"/>
  </w:num>
  <w:num w:numId="2" w16cid:durableId="882987447">
    <w:abstractNumId w:val="7"/>
  </w:num>
  <w:num w:numId="3" w16cid:durableId="320622213">
    <w:abstractNumId w:val="6"/>
  </w:num>
  <w:num w:numId="4" w16cid:durableId="654577307">
    <w:abstractNumId w:val="5"/>
  </w:num>
  <w:num w:numId="5" w16cid:durableId="831022519">
    <w:abstractNumId w:val="4"/>
  </w:num>
  <w:num w:numId="6" w16cid:durableId="632248707">
    <w:abstractNumId w:val="12"/>
  </w:num>
  <w:num w:numId="7" w16cid:durableId="354502549">
    <w:abstractNumId w:val="11"/>
  </w:num>
  <w:num w:numId="8" w16cid:durableId="1166438362">
    <w:abstractNumId w:val="10"/>
  </w:num>
  <w:num w:numId="9" w16cid:durableId="1141115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8085">
    <w:abstractNumId w:val="13"/>
  </w:num>
  <w:num w:numId="11" w16cid:durableId="571156061">
    <w:abstractNumId w:val="8"/>
  </w:num>
  <w:num w:numId="12" w16cid:durableId="314072743">
    <w:abstractNumId w:val="3"/>
  </w:num>
  <w:num w:numId="13" w16cid:durableId="386030674">
    <w:abstractNumId w:val="2"/>
  </w:num>
  <w:num w:numId="14" w16cid:durableId="1662348317">
    <w:abstractNumId w:val="1"/>
  </w:num>
  <w:num w:numId="15" w16cid:durableId="186640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3C85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5A6A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5AA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169B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CA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6d5eb580-acfb-4370-bdf8-0914d2953e08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69BCE59-A922-4416-885E-FEEC9EA1BF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474</Words>
  <Characters>2654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2024-10-09T13:32:00Z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G/SPS/N/EGY/147</vt:lpwstr>
  </property>
  <property fmtid="{D5CDD505-2E9C-101B-9397-08002B2CF9AE}" pid="3" name="TitusGUID">
    <vt:lpwstr>6d5eb580-acfb-4370-bdf8-0914d2953e08</vt:lpwstr>
  </property>
  <property fmtid="{D5CDD505-2E9C-101B-9397-08002B2CF9AE}" pid="4" name="WTOCLASSIFICATION">
    <vt:lpwstr>WTO OFFICIAL</vt:lpwstr>
  </property>
</Properties>
</file>